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48"/>
        </w:rPr>
      </w:pPr>
      <w:r>
        <w:rPr>
          <w:rFonts w:hint="eastAsia" w:ascii="黑体" w:hAnsi="黑体" w:eastAsia="黑体" w:cs="黑体"/>
          <w:sz w:val="32"/>
          <w:szCs w:val="48"/>
        </w:rPr>
        <w:t>附件3</w:t>
      </w:r>
    </w:p>
    <w:p>
      <w:pPr>
        <w:ind w:firstLine="6560" w:firstLineChars="2050"/>
        <w:rPr>
          <w:rFonts w:ascii="仿宋" w:hAnsi="仿宋" w:eastAsia="仿宋" w:cs="仿宋"/>
          <w:sz w:val="32"/>
          <w:szCs w:val="48"/>
        </w:rPr>
      </w:pPr>
      <w:r>
        <w:rPr>
          <w:rFonts w:hint="eastAsia" w:ascii="仿宋" w:hAnsi="仿宋" w:eastAsia="仿宋" w:cs="仿宋"/>
          <w:sz w:val="32"/>
          <w:szCs w:val="48"/>
        </w:rPr>
        <w:t>编号：</w:t>
      </w:r>
    </w:p>
    <w:p>
      <w:pPr>
        <w:rPr>
          <w:rFonts w:ascii="黑体" w:hAnsi="黑体" w:eastAsia="黑体"/>
          <w:szCs w:val="32"/>
        </w:rPr>
      </w:pPr>
    </w:p>
    <w:p>
      <w:pPr>
        <w:pStyle w:val="3"/>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2024年江苏省自然科学百篇优秀学术成果</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论文申报书</w:t>
      </w:r>
    </w:p>
    <w:p>
      <w:pPr>
        <w:rPr>
          <w:rFonts w:ascii="黑体" w:hAnsi="黑体" w:eastAsia="黑体"/>
          <w:szCs w:val="32"/>
        </w:rPr>
      </w:pPr>
    </w:p>
    <w:p>
      <w:pPr>
        <w:rPr>
          <w:rFonts w:ascii="黑体" w:hAnsi="黑体" w:eastAsia="黑体"/>
          <w:szCs w:val="32"/>
        </w:rPr>
      </w:pPr>
    </w:p>
    <w:p>
      <w:pPr>
        <w:spacing w:line="594" w:lineRule="exact"/>
        <w:ind w:firstLine="200"/>
        <w:rPr>
          <w:rFonts w:ascii="黑体" w:hAnsi="仿宋" w:eastAsia="黑体"/>
          <w:sz w:val="32"/>
          <w:szCs w:val="48"/>
          <w:u w:val="single"/>
        </w:rPr>
      </w:pPr>
      <w:r>
        <w:rPr>
          <w:rFonts w:hint="eastAsia" w:ascii="黑体" w:hAnsi="仿宋" w:eastAsia="黑体"/>
          <w:sz w:val="32"/>
          <w:szCs w:val="48"/>
        </w:rPr>
        <w:t>题</w:t>
      </w:r>
      <w:r>
        <w:rPr>
          <w:rFonts w:ascii="黑体" w:hAnsi="仿宋" w:eastAsia="黑体"/>
          <w:sz w:val="32"/>
          <w:szCs w:val="48"/>
        </w:rPr>
        <w:t xml:space="preserve">    </w:t>
      </w:r>
      <w:r>
        <w:rPr>
          <w:rFonts w:hint="eastAsia" w:ascii="黑体" w:hAnsi="仿宋" w:eastAsia="黑体"/>
          <w:sz w:val="32"/>
          <w:szCs w:val="48"/>
        </w:rPr>
        <w:t>目</w:t>
      </w:r>
      <w:r>
        <w:rPr>
          <w:rFonts w:ascii="黑体" w:hAnsi="仿宋" w:eastAsia="黑体"/>
          <w:sz w:val="32"/>
          <w:szCs w:val="48"/>
        </w:rPr>
        <w:t xml:space="preserve">   </w:t>
      </w:r>
      <w:r>
        <w:rPr>
          <w:rFonts w:hint="eastAsia" w:ascii="黑体" w:hAnsi="仿宋" w:eastAsia="黑体"/>
          <w:sz w:val="32"/>
          <w:szCs w:val="48"/>
          <w:u w:val="single"/>
        </w:rPr>
        <w:t>Indocyanine green clearance test as a predictor of linezolid overexposure in septic patients</w:t>
      </w:r>
      <w:bookmarkStart w:id="0" w:name="_GoBack"/>
      <w:bookmarkEnd w:id="0"/>
      <w:r>
        <w:rPr>
          <w:rFonts w:hint="eastAsia" w:ascii="黑体" w:hAnsi="仿宋" w:eastAsia="黑体"/>
          <w:sz w:val="32"/>
          <w:szCs w:val="48"/>
          <w:u w:val="single"/>
        </w:rPr>
        <w:t xml:space="preserve"> （吲哚青绿清除试验可预测脓毒症患者利奈唑胺过度暴露 ） </w:t>
      </w:r>
      <w:r>
        <w:rPr>
          <w:rFonts w:ascii="黑体" w:hAnsi="仿宋" w:eastAsia="黑体"/>
          <w:sz w:val="32"/>
          <w:szCs w:val="48"/>
          <w:u w:val="single"/>
        </w:rPr>
        <w:t xml:space="preserve">   </w:t>
      </w:r>
      <w:r>
        <w:rPr>
          <w:rFonts w:ascii="黑体" w:hAnsi="仿宋" w:eastAsia="黑体"/>
          <w:sz w:val="32"/>
          <w:szCs w:val="48"/>
        </w:rPr>
        <w:t xml:space="preserve">  </w:t>
      </w:r>
    </w:p>
    <w:p>
      <w:pPr>
        <w:spacing w:line="594" w:lineRule="exact"/>
        <w:ind w:firstLine="200"/>
        <w:rPr>
          <w:rFonts w:ascii="黑体" w:hAnsi="仿宋" w:eastAsia="黑体"/>
          <w:sz w:val="32"/>
          <w:szCs w:val="48"/>
          <w:u w:val="single"/>
        </w:rPr>
      </w:pPr>
      <w:r>
        <w:rPr>
          <w:rFonts w:hint="eastAsia" w:ascii="黑体" w:hAnsi="仿宋" w:eastAsia="黑体"/>
          <w:sz w:val="32"/>
          <w:szCs w:val="48"/>
        </w:rPr>
        <w:t>申 报 人</w:t>
      </w:r>
      <w:r>
        <w:rPr>
          <w:rFonts w:ascii="黑体" w:hAnsi="仿宋" w:eastAsia="黑体"/>
          <w:sz w:val="32"/>
          <w:szCs w:val="48"/>
        </w:rPr>
        <w:t xml:space="preserve">   </w:t>
      </w:r>
      <w:r>
        <w:rPr>
          <w:rFonts w:ascii="黑体" w:hAnsi="仿宋" w:eastAsia="黑体"/>
          <w:sz w:val="32"/>
          <w:szCs w:val="48"/>
          <w:u w:val="single"/>
        </w:rPr>
        <w:t xml:space="preserve">    </w:t>
      </w:r>
      <w:r>
        <w:rPr>
          <w:rFonts w:hint="eastAsia" w:ascii="黑体" w:hAnsi="仿宋" w:eastAsia="黑体"/>
          <w:sz w:val="32"/>
          <w:szCs w:val="48"/>
          <w:u w:val="single"/>
        </w:rPr>
        <w:t xml:space="preserve">曲晨 </w:t>
      </w:r>
      <w:r>
        <w:rPr>
          <w:rFonts w:ascii="黑体" w:hAnsi="仿宋" w:eastAsia="黑体"/>
          <w:sz w:val="32"/>
          <w:szCs w:val="48"/>
          <w:u w:val="single"/>
        </w:rPr>
        <w:t xml:space="preserve">                                    </w:t>
      </w:r>
    </w:p>
    <w:p>
      <w:pPr>
        <w:spacing w:line="594" w:lineRule="exact"/>
        <w:ind w:firstLine="200"/>
        <w:rPr>
          <w:rFonts w:ascii="黑体" w:hAnsi="仿宋" w:eastAsia="黑体"/>
          <w:sz w:val="32"/>
          <w:szCs w:val="48"/>
          <w:u w:val="single"/>
        </w:rPr>
      </w:pPr>
      <w:r>
        <w:rPr>
          <w:rFonts w:hint="eastAsia" w:ascii="黑体" w:hAnsi="仿宋" w:eastAsia="黑体"/>
          <w:sz w:val="32"/>
          <w:szCs w:val="48"/>
        </w:rPr>
        <w:t>联系电话</w:t>
      </w:r>
      <w:r>
        <w:rPr>
          <w:rFonts w:ascii="黑体" w:hAnsi="仿宋" w:eastAsia="黑体"/>
          <w:sz w:val="32"/>
          <w:szCs w:val="48"/>
        </w:rPr>
        <w:t xml:space="preserve">   </w:t>
      </w:r>
      <w:r>
        <w:rPr>
          <w:rFonts w:hint="eastAsia" w:ascii="黑体" w:hAnsi="仿宋" w:eastAsia="黑体"/>
          <w:sz w:val="32"/>
          <w:szCs w:val="48"/>
          <w:u w:val="single"/>
        </w:rPr>
        <w:t xml:space="preserve">    13813076355                                    </w:t>
      </w:r>
    </w:p>
    <w:p>
      <w:pPr>
        <w:spacing w:line="594" w:lineRule="exact"/>
        <w:ind w:firstLine="200"/>
        <w:rPr>
          <w:rFonts w:ascii="黑体" w:hAnsi="仿宋" w:eastAsia="黑体"/>
          <w:sz w:val="32"/>
          <w:szCs w:val="48"/>
        </w:rPr>
      </w:pPr>
      <w:r>
        <w:rPr>
          <w:rFonts w:hint="eastAsia" w:ascii="黑体" w:hAnsi="仿宋" w:eastAsia="黑体"/>
          <w:sz w:val="32"/>
          <w:szCs w:val="48"/>
        </w:rPr>
        <w:t>工作单位</w:t>
      </w:r>
      <w:r>
        <w:rPr>
          <w:rFonts w:ascii="黑体" w:hAnsi="仿宋" w:eastAsia="黑体"/>
          <w:sz w:val="32"/>
          <w:szCs w:val="48"/>
        </w:rPr>
        <w:t xml:space="preserve">   </w:t>
      </w:r>
      <w:r>
        <w:rPr>
          <w:rFonts w:ascii="黑体" w:hAnsi="仿宋" w:eastAsia="黑体"/>
          <w:sz w:val="32"/>
          <w:szCs w:val="48"/>
          <w:u w:val="single"/>
        </w:rPr>
        <w:t xml:space="preserve">    </w:t>
      </w:r>
      <w:r>
        <w:rPr>
          <w:rFonts w:hint="eastAsia" w:ascii="黑体" w:hAnsi="仿宋" w:eastAsia="黑体"/>
          <w:sz w:val="32"/>
          <w:szCs w:val="48"/>
          <w:u w:val="single"/>
        </w:rPr>
        <w:t>南京医科大学第二附属医院</w:t>
      </w:r>
      <w:r>
        <w:rPr>
          <w:rFonts w:ascii="黑体" w:hAnsi="仿宋" w:eastAsia="黑体"/>
          <w:sz w:val="32"/>
          <w:szCs w:val="48"/>
          <w:u w:val="single"/>
        </w:rPr>
        <w:t xml:space="preserve">                                    </w:t>
      </w:r>
      <w:r>
        <w:rPr>
          <w:rFonts w:ascii="黑体" w:hAnsi="仿宋" w:eastAsia="黑体"/>
          <w:sz w:val="32"/>
          <w:szCs w:val="48"/>
        </w:rPr>
        <w:t xml:space="preserve">   </w:t>
      </w:r>
    </w:p>
    <w:p>
      <w:pPr>
        <w:spacing w:line="594" w:lineRule="exact"/>
        <w:ind w:firstLine="200"/>
        <w:rPr>
          <w:rFonts w:ascii="仿宋" w:hAnsi="仿宋" w:eastAsia="仿宋"/>
          <w:sz w:val="32"/>
          <w:szCs w:val="48"/>
          <w:u w:val="single"/>
        </w:rPr>
      </w:pPr>
      <w:r>
        <w:rPr>
          <w:rFonts w:hint="eastAsia" w:ascii="黑体" w:hAnsi="仿宋" w:eastAsia="黑体"/>
          <w:sz w:val="32"/>
          <w:szCs w:val="48"/>
        </w:rPr>
        <w:t>推荐（初评）单位</w:t>
      </w:r>
      <w:r>
        <w:rPr>
          <w:rFonts w:ascii="仿宋" w:hAnsi="仿宋" w:eastAsia="仿宋"/>
          <w:sz w:val="32"/>
          <w:szCs w:val="48"/>
        </w:rPr>
        <w:t xml:space="preserve">   </w:t>
      </w:r>
      <w:r>
        <w:rPr>
          <w:rFonts w:hint="eastAsia" w:ascii="仿宋" w:hAnsi="仿宋" w:eastAsia="仿宋"/>
          <w:sz w:val="32"/>
          <w:szCs w:val="48"/>
          <w:u w:val="single"/>
        </w:rPr>
        <w:t xml:space="preserve"> </w:t>
      </w:r>
      <w:r>
        <w:rPr>
          <w:rFonts w:hint="eastAsia" w:ascii="黑体" w:hAnsi="仿宋" w:eastAsia="黑体"/>
          <w:sz w:val="32"/>
          <w:szCs w:val="48"/>
          <w:u w:val="single"/>
          <w:lang w:val="en-US" w:eastAsia="zh-CN"/>
        </w:rPr>
        <w:t xml:space="preserve">江苏省抗衰老学会        </w:t>
      </w:r>
      <w:r>
        <w:rPr>
          <w:rFonts w:ascii="仿宋" w:hAnsi="仿宋" w:eastAsia="仿宋"/>
          <w:sz w:val="32"/>
          <w:szCs w:val="48"/>
          <w:u w:val="single"/>
        </w:rPr>
        <w:t xml:space="preserve">       </w:t>
      </w:r>
    </w:p>
    <w:p>
      <w:pPr>
        <w:spacing w:line="594" w:lineRule="exact"/>
        <w:ind w:firstLine="200"/>
        <w:rPr>
          <w:rFonts w:ascii="仿宋" w:hAnsi="仿宋" w:eastAsia="仿宋"/>
          <w:sz w:val="32"/>
          <w:szCs w:val="48"/>
        </w:rPr>
      </w:pPr>
      <w:r>
        <w:rPr>
          <w:rFonts w:hint="eastAsia" w:ascii="仿宋" w:hAnsi="仿宋" w:eastAsia="仿宋"/>
          <w:sz w:val="32"/>
          <w:szCs w:val="48"/>
        </w:rPr>
        <w:t xml:space="preserve">           </w:t>
      </w:r>
    </w:p>
    <w:p>
      <w:pPr>
        <w:spacing w:line="594" w:lineRule="exact"/>
        <w:ind w:firstLine="200"/>
        <w:jc w:val="center"/>
        <w:rPr>
          <w:rFonts w:ascii="仿宋" w:hAnsi="仿宋" w:eastAsia="仿宋"/>
          <w:sz w:val="32"/>
          <w:szCs w:val="48"/>
        </w:rPr>
      </w:pPr>
      <w:r>
        <w:rPr>
          <w:rFonts w:hint="eastAsia" w:ascii="仿宋" w:hAnsi="仿宋" w:eastAsia="仿宋"/>
          <w:sz w:val="32"/>
          <w:szCs w:val="48"/>
        </w:rPr>
        <w:t xml:space="preserve">填表时间：  </w:t>
      </w:r>
      <w:r>
        <w:rPr>
          <w:rFonts w:hint="eastAsia" w:ascii="仿宋" w:hAnsi="仿宋" w:eastAsia="仿宋"/>
          <w:sz w:val="32"/>
          <w:szCs w:val="48"/>
          <w:lang w:val="en-US" w:eastAsia="zh-CN"/>
        </w:rPr>
        <w:t>2024</w:t>
      </w:r>
      <w:r>
        <w:rPr>
          <w:rFonts w:hint="eastAsia" w:ascii="仿宋" w:hAnsi="仿宋" w:eastAsia="仿宋"/>
          <w:sz w:val="32"/>
          <w:szCs w:val="48"/>
        </w:rPr>
        <w:t xml:space="preserve">年  </w:t>
      </w:r>
      <w:r>
        <w:rPr>
          <w:rFonts w:hint="eastAsia" w:ascii="仿宋" w:hAnsi="仿宋" w:eastAsia="仿宋"/>
          <w:sz w:val="32"/>
          <w:szCs w:val="48"/>
          <w:lang w:val="en-US" w:eastAsia="zh-CN"/>
        </w:rPr>
        <w:t>3</w:t>
      </w:r>
      <w:r>
        <w:rPr>
          <w:rFonts w:hint="eastAsia" w:ascii="仿宋" w:hAnsi="仿宋" w:eastAsia="仿宋"/>
          <w:sz w:val="32"/>
          <w:szCs w:val="48"/>
        </w:rPr>
        <w:t xml:space="preserve">月  </w:t>
      </w:r>
      <w:r>
        <w:rPr>
          <w:rFonts w:hint="eastAsia" w:ascii="仿宋" w:hAnsi="仿宋" w:eastAsia="仿宋"/>
          <w:sz w:val="32"/>
          <w:szCs w:val="48"/>
          <w:lang w:val="en-US" w:eastAsia="zh-CN"/>
        </w:rPr>
        <w:t>25</w:t>
      </w:r>
      <w:r>
        <w:rPr>
          <w:rFonts w:hint="eastAsia" w:ascii="仿宋" w:hAnsi="仿宋" w:eastAsia="仿宋"/>
          <w:sz w:val="32"/>
          <w:szCs w:val="48"/>
        </w:rPr>
        <w:t>日</w:t>
      </w:r>
    </w:p>
    <w:p>
      <w:pPr>
        <w:spacing w:line="594" w:lineRule="exact"/>
        <w:jc w:val="center"/>
        <w:rPr>
          <w:rFonts w:ascii="方正楷体简体" w:hAnsi="仿宋" w:eastAsia="方正楷体简体"/>
          <w:sz w:val="32"/>
          <w:szCs w:val="48"/>
        </w:rPr>
      </w:pPr>
    </w:p>
    <w:p>
      <w:pPr>
        <w:spacing w:line="594" w:lineRule="exact"/>
        <w:jc w:val="center"/>
        <w:rPr>
          <w:rFonts w:ascii="方正楷体简体" w:hAnsi="仿宋" w:eastAsia="方正楷体简体"/>
          <w:sz w:val="32"/>
          <w:szCs w:val="48"/>
        </w:rPr>
      </w:pPr>
    </w:p>
    <w:p>
      <w:pPr>
        <w:pStyle w:val="3"/>
      </w:pPr>
    </w:p>
    <w:p>
      <w:pPr>
        <w:spacing w:line="594" w:lineRule="exact"/>
        <w:jc w:val="center"/>
        <w:rPr>
          <w:sz w:val="32"/>
          <w:szCs w:val="36"/>
        </w:rPr>
      </w:pPr>
      <w:r>
        <w:rPr>
          <w:rFonts w:hint="eastAsia" w:ascii="楷体" w:hAnsi="楷体" w:eastAsia="楷体"/>
          <w:sz w:val="32"/>
          <w:szCs w:val="48"/>
        </w:rPr>
        <w:t>江苏自然科学百篇优秀学术成果论文推选委员会</w:t>
      </w:r>
      <w:r>
        <w:rPr>
          <w:sz w:val="32"/>
          <w:szCs w:val="36"/>
        </w:rPr>
        <w:br w:type="page"/>
      </w:r>
    </w:p>
    <w:tbl>
      <w:tblPr>
        <w:tblStyle w:val="8"/>
        <w:tblW w:w="87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3"/>
        <w:gridCol w:w="1134"/>
        <w:gridCol w:w="1314"/>
        <w:gridCol w:w="1150"/>
        <w:gridCol w:w="1518"/>
        <w:gridCol w:w="1260"/>
        <w:gridCol w:w="8"/>
        <w:gridCol w:w="8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ind w:firstLine="200"/>
              <w:jc w:val="center"/>
              <w:rPr>
                <w:rFonts w:asciiTheme="minorEastAsia" w:hAnsiTheme="minorEastAsia" w:eastAsiaTheme="minorEastAsia"/>
                <w:sz w:val="24"/>
              </w:rPr>
            </w:pPr>
            <w:r>
              <w:rPr>
                <w:rFonts w:hint="eastAsia" w:asciiTheme="minorEastAsia" w:hAnsiTheme="minorEastAsia" w:eastAsiaTheme="minorEastAsia"/>
                <w:sz w:val="24"/>
              </w:rPr>
              <w:t>论</w:t>
            </w:r>
            <w:r>
              <w:rPr>
                <w:rFonts w:asciiTheme="minorEastAsia" w:hAnsiTheme="minorEastAsia" w:eastAsiaTheme="minorEastAsia"/>
                <w:sz w:val="24"/>
              </w:rPr>
              <w:t xml:space="preserve"> </w:t>
            </w:r>
            <w:r>
              <w:rPr>
                <w:rFonts w:hint="eastAsia" w:asciiTheme="minorEastAsia" w:hAnsiTheme="minorEastAsia" w:eastAsiaTheme="minorEastAsia"/>
                <w:sz w:val="24"/>
              </w:rPr>
              <w:t>文</w:t>
            </w:r>
            <w:r>
              <w:rPr>
                <w:rFonts w:asciiTheme="minorEastAsia" w:hAnsiTheme="minorEastAsia" w:eastAsiaTheme="minorEastAsia"/>
                <w:sz w:val="24"/>
              </w:rPr>
              <w:t xml:space="preserve"> </w:t>
            </w: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p>
        </w:tc>
        <w:tc>
          <w:tcPr>
            <w:tcW w:w="6134" w:type="dxa"/>
            <w:gridSpan w:val="6"/>
            <w:vAlign w:val="center"/>
          </w:tcPr>
          <w:p>
            <w:pPr>
              <w:spacing w:line="300" w:lineRule="exact"/>
              <w:ind w:firstLine="20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rPr>
              <w:t xml:space="preserve"> Indocyanine green clearance test as a predictor of linezolid overexposure in septic patients</w:t>
            </w:r>
            <w:r>
              <w:rPr>
                <w:rFonts w:hint="eastAsia" w:asciiTheme="minorEastAsia" w:hAnsiTheme="minorEastAsia" w:eastAsiaTheme="minorEastAsia"/>
                <w:sz w:val="24"/>
                <w:lang w:val="en-US" w:eastAsia="zh-CN"/>
              </w:rPr>
              <w:t xml:space="preserve"> </w:t>
            </w:r>
          </w:p>
          <w:p>
            <w:pPr>
              <w:spacing w:line="300" w:lineRule="exact"/>
              <w:ind w:firstLine="200"/>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（吲哚青绿清除试验可预测脓毒症患者利奈唑胺过度暴露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ind w:firstLine="200"/>
              <w:jc w:val="center"/>
              <w:rPr>
                <w:rFonts w:asciiTheme="minorEastAsia" w:hAnsiTheme="minorEastAsia" w:eastAsiaTheme="minorEastAsia"/>
                <w:sz w:val="24"/>
              </w:rPr>
            </w:pPr>
            <w:r>
              <w:rPr>
                <w:rFonts w:hint="eastAsia" w:asciiTheme="minorEastAsia" w:hAnsiTheme="minorEastAsia" w:eastAsiaTheme="minorEastAsia"/>
                <w:sz w:val="24"/>
              </w:rPr>
              <w:t>期刊名称</w:t>
            </w:r>
          </w:p>
        </w:tc>
        <w:tc>
          <w:tcPr>
            <w:tcW w:w="2464" w:type="dxa"/>
            <w:gridSpan w:val="2"/>
            <w:vAlign w:val="center"/>
          </w:tcPr>
          <w:p>
            <w:pPr>
              <w:spacing w:line="300" w:lineRule="exact"/>
              <w:ind w:firstLine="200"/>
              <w:jc w:val="center"/>
              <w:rPr>
                <w:rFonts w:asciiTheme="minorEastAsia" w:hAnsiTheme="minorEastAsia" w:eastAsiaTheme="minorEastAsia"/>
                <w:sz w:val="24"/>
              </w:rPr>
            </w:pPr>
            <w:r>
              <w:rPr>
                <w:rFonts w:hint="eastAsia" w:asciiTheme="minorEastAsia" w:hAnsiTheme="minorEastAsia" w:eastAsiaTheme="minorEastAsia"/>
                <w:sz w:val="24"/>
              </w:rPr>
              <w:t>International Journal of Antimicrobial Agents</w:t>
            </w:r>
          </w:p>
        </w:tc>
        <w:tc>
          <w:tcPr>
            <w:tcW w:w="151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ISSN</w:t>
            </w:r>
          </w:p>
        </w:tc>
        <w:tc>
          <w:tcPr>
            <w:tcW w:w="2152" w:type="dxa"/>
            <w:gridSpan w:val="3"/>
            <w:vAlign w:val="center"/>
          </w:tcPr>
          <w:p>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发表卷期</w:t>
            </w:r>
          </w:p>
        </w:tc>
        <w:tc>
          <w:tcPr>
            <w:tcW w:w="2464" w:type="dxa"/>
            <w:gridSpan w:val="2"/>
            <w:vAlign w:val="center"/>
          </w:tcPr>
          <w:p>
            <w:pPr>
              <w:spacing w:line="300" w:lineRule="exact"/>
              <w:ind w:firstLine="200"/>
              <w:rPr>
                <w:rFonts w:asciiTheme="minorEastAsia" w:hAnsiTheme="minorEastAsia" w:eastAsiaTheme="minorEastAsia"/>
                <w:sz w:val="24"/>
              </w:rPr>
            </w:pPr>
            <w:r>
              <w:rPr>
                <w:rFonts w:hint="eastAsia" w:asciiTheme="minorEastAsia" w:hAnsiTheme="minorEastAsia" w:eastAsiaTheme="minorEastAsia"/>
                <w:sz w:val="24"/>
              </w:rPr>
              <w:t>62</w:t>
            </w:r>
          </w:p>
        </w:tc>
        <w:tc>
          <w:tcPr>
            <w:tcW w:w="1518" w:type="dxa"/>
            <w:vAlign w:val="center"/>
          </w:tcPr>
          <w:p>
            <w:pPr>
              <w:spacing w:line="300" w:lineRule="exact"/>
              <w:jc w:val="center"/>
              <w:rPr>
                <w:rFonts w:asciiTheme="minorEastAsia" w:hAnsiTheme="minorEastAsia" w:eastAsiaTheme="minorEastAsia"/>
                <w:sz w:val="24"/>
              </w:rPr>
            </w:pPr>
            <w:r>
              <w:rPr>
                <w:rFonts w:asciiTheme="minorEastAsia" w:hAnsiTheme="minorEastAsia" w:eastAsiaTheme="minorEastAsia"/>
                <w:sz w:val="24"/>
              </w:rPr>
              <w:t>论文类别</w:t>
            </w:r>
          </w:p>
        </w:tc>
        <w:tc>
          <w:tcPr>
            <w:tcW w:w="2152" w:type="dxa"/>
            <w:gridSpan w:val="3"/>
            <w:vAlign w:val="center"/>
          </w:tcPr>
          <w:p>
            <w:pPr>
              <w:spacing w:line="30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研究性      </w:t>
            </w:r>
            <w:r>
              <w:rPr>
                <w:rFonts w:hint="eastAsia" w:asciiTheme="minorEastAsia" w:hAnsiTheme="minorEastAsia" w:eastAsiaTheme="minorEastAsia"/>
                <w:sz w:val="24"/>
                <w:lang w:eastAsia="zh-CN"/>
              </w:rPr>
              <w:t>☑</w:t>
            </w:r>
          </w:p>
          <w:p>
            <w:pPr>
              <w:rPr>
                <w:rFonts w:asciiTheme="minorEastAsia" w:hAnsiTheme="minorEastAsia" w:eastAsiaTheme="minorEastAsia"/>
              </w:rPr>
            </w:pPr>
            <w:r>
              <w:rPr>
                <w:rFonts w:hint="eastAsia" w:asciiTheme="minorEastAsia" w:hAnsiTheme="minorEastAsia" w:eastAsiaTheme="minorEastAsia"/>
                <w:sz w:val="24"/>
              </w:rPr>
              <w:t>综述性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所属学科分类名称/中图分类号</w:t>
            </w:r>
          </w:p>
        </w:tc>
        <w:tc>
          <w:tcPr>
            <w:tcW w:w="2464" w:type="dxa"/>
            <w:gridSpan w:val="2"/>
            <w:vAlign w:val="center"/>
          </w:tcPr>
          <w:p>
            <w:pPr>
              <w:spacing w:line="300" w:lineRule="exact"/>
              <w:ind w:firstLine="200"/>
              <w:rPr>
                <w:rFonts w:asciiTheme="minorEastAsia" w:hAnsiTheme="minorEastAsia" w:eastAsiaTheme="minorEastAsia"/>
                <w:sz w:val="24"/>
              </w:rPr>
            </w:pPr>
            <w:r>
              <w:rPr>
                <w:rFonts w:hint="eastAsia" w:asciiTheme="minorEastAsia" w:hAnsiTheme="minorEastAsia" w:eastAsiaTheme="minorEastAsia"/>
                <w:sz w:val="24"/>
              </w:rPr>
              <w:t>/</w:t>
            </w:r>
          </w:p>
        </w:tc>
        <w:tc>
          <w:tcPr>
            <w:tcW w:w="151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所属学</w:t>
            </w:r>
          </w:p>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科领域</w:t>
            </w:r>
          </w:p>
        </w:tc>
        <w:tc>
          <w:tcPr>
            <w:tcW w:w="2152" w:type="dxa"/>
            <w:gridSpan w:val="3"/>
            <w:vAlign w:val="center"/>
          </w:tcPr>
          <w:p>
            <w:pPr>
              <w:spacing w:line="300" w:lineRule="exact"/>
              <w:jc w:val="distribute"/>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医学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论文刊发期刊被收录情况</w:t>
            </w:r>
          </w:p>
        </w:tc>
        <w:tc>
          <w:tcPr>
            <w:tcW w:w="6134" w:type="dxa"/>
            <w:gridSpan w:val="6"/>
            <w:vAlign w:val="center"/>
          </w:tcPr>
          <w:p>
            <w:pPr>
              <w:spacing w:line="300" w:lineRule="exact"/>
              <w:jc w:val="left"/>
              <w:rPr>
                <w:rFonts w:asciiTheme="minorEastAsia" w:hAnsiTheme="minorEastAsia" w:eastAsiaTheme="minorEastAsia"/>
                <w:sz w:val="24"/>
              </w:rPr>
            </w:pPr>
            <w:r>
              <w:rPr>
                <w:rFonts w:asciiTheme="minorEastAsia" w:hAnsiTheme="minorEastAsia" w:eastAsiaTheme="minorEastAsia"/>
                <w:sz w:val="24"/>
              </w:rPr>
              <w:t>CSCD</w:t>
            </w:r>
            <w:r>
              <w:rPr>
                <w:rFonts w:hint="eastAsia" w:asciiTheme="minorEastAsia" w:hAnsiTheme="minorEastAsia" w:eastAsiaTheme="minorEastAsia"/>
                <w:sz w:val="24"/>
              </w:rPr>
              <w:t>□</w:t>
            </w:r>
            <w:r>
              <w:rPr>
                <w:rFonts w:asciiTheme="minorEastAsia" w:hAnsiTheme="minorEastAsia" w:eastAsiaTheme="minorEastAsia"/>
                <w:sz w:val="24"/>
              </w:rPr>
              <w:t xml:space="preserve">  北大核心□  SCI</w:t>
            </w:r>
            <w:r>
              <w:rPr>
                <w:rFonts w:hint="eastAsia" w:asciiTheme="minorEastAsia" w:hAnsiTheme="minorEastAsia" w:eastAsiaTheme="minorEastAsia"/>
                <w:sz w:val="24"/>
                <w:lang w:eastAsia="zh-CN"/>
              </w:rPr>
              <w:t>☑</w:t>
            </w:r>
            <w:r>
              <w:rPr>
                <w:rFonts w:asciiTheme="minorEastAsia" w:hAnsiTheme="minorEastAsia" w:eastAsiaTheme="minorEastAsia"/>
                <w:sz w:val="24"/>
              </w:rPr>
              <w:t xml:space="preserve">  EI</w:t>
            </w:r>
            <w:r>
              <w:rPr>
                <w:rFonts w:hint="eastAsia" w:asciiTheme="minorEastAsia" w:hAnsiTheme="minorEastAsia" w:eastAsiaTheme="minorEastAsia"/>
                <w:sz w:val="24"/>
              </w:rPr>
              <w:t>□</w:t>
            </w:r>
            <w:r>
              <w:rPr>
                <w:rFonts w:asciiTheme="minorEastAsia" w:hAnsiTheme="minorEastAsia" w:eastAsiaTheme="minorEastAsia"/>
                <w:sz w:val="24"/>
              </w:rPr>
              <w:t xml:space="preserve">  </w:t>
            </w:r>
            <w:r>
              <w:rPr>
                <w:rFonts w:hint="eastAsia" w:asciiTheme="minorEastAsia" w:hAnsiTheme="minorEastAsia" w:eastAsiaTheme="minorEastAsia"/>
                <w:sz w:val="24"/>
              </w:rPr>
              <w:t>其他</w:t>
            </w:r>
            <w:r>
              <w:rPr>
                <w:rFonts w:asciiTheme="minorEastAsia" w:hAnsiTheme="minorEastAsia" w:eastAsiaTheme="minor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restart"/>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作者（依论文署名排序）</w:t>
            </w:r>
          </w:p>
        </w:tc>
        <w:tc>
          <w:tcPr>
            <w:tcW w:w="1134"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姓</w:t>
            </w:r>
            <w:r>
              <w:rPr>
                <w:rFonts w:asciiTheme="minorEastAsia" w:hAnsiTheme="minorEastAsia" w:eastAsiaTheme="minorEastAsia"/>
                <w:sz w:val="24"/>
              </w:rPr>
              <w:t xml:space="preserve">  </w:t>
            </w:r>
            <w:r>
              <w:rPr>
                <w:rFonts w:hint="eastAsia" w:asciiTheme="minorEastAsia" w:hAnsiTheme="minorEastAsia" w:eastAsiaTheme="minorEastAsia"/>
                <w:sz w:val="24"/>
              </w:rPr>
              <w:t>名</w:t>
            </w:r>
          </w:p>
        </w:tc>
        <w:tc>
          <w:tcPr>
            <w:tcW w:w="2464"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工作单位（发表时）</w:t>
            </w:r>
          </w:p>
        </w:tc>
        <w:tc>
          <w:tcPr>
            <w:tcW w:w="1518"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职务、职称</w:t>
            </w:r>
          </w:p>
        </w:tc>
        <w:tc>
          <w:tcPr>
            <w:tcW w:w="1268"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年龄</w:t>
            </w:r>
          </w:p>
        </w:tc>
        <w:tc>
          <w:tcPr>
            <w:tcW w:w="884" w:type="dxa"/>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性别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Ying Xu</w:t>
            </w:r>
          </w:p>
        </w:tc>
        <w:tc>
          <w:tcPr>
            <w:tcW w:w="2464" w:type="dxa"/>
            <w:gridSpan w:val="2"/>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The Affiliated Hospital of Nanjing University Medical School</w:t>
            </w: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Chen Qu</w:t>
            </w:r>
          </w:p>
        </w:tc>
        <w:tc>
          <w:tcPr>
            <w:tcW w:w="2464" w:type="dxa"/>
            <w:gridSpan w:val="2"/>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The</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Second Affiliated Hospital of Nanjing Medical University</w:t>
            </w: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Ming Yan</w:t>
            </w:r>
          </w:p>
        </w:tc>
        <w:tc>
          <w:tcPr>
            <w:tcW w:w="2464" w:type="dxa"/>
            <w:gridSpan w:val="2"/>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The Affiliated Hospital of Nanjing University Medical School</w:t>
            </w: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Qin Gu</w:t>
            </w:r>
          </w:p>
        </w:tc>
        <w:tc>
          <w:tcPr>
            <w:tcW w:w="2464" w:type="dxa"/>
            <w:gridSpan w:val="2"/>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The Affiliated Hospital of Nanjing University Medical School</w:t>
            </w: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jc w:val="center"/>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Ning Liu</w:t>
            </w:r>
          </w:p>
        </w:tc>
        <w:tc>
          <w:tcPr>
            <w:tcW w:w="2464" w:type="dxa"/>
            <w:gridSpan w:val="2"/>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The Affiliated Hospital of Nanjing University Medical School</w:t>
            </w: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13" w:type="dxa"/>
            <w:vMerge w:val="continue"/>
            <w:vAlign w:val="center"/>
          </w:tcPr>
          <w:p>
            <w:pPr>
              <w:spacing w:line="300" w:lineRule="exact"/>
              <w:ind w:firstLine="200"/>
              <w:jc w:val="center"/>
              <w:rPr>
                <w:rFonts w:asciiTheme="minorEastAsia" w:hAnsiTheme="minorEastAsia" w:eastAsiaTheme="minorEastAsia"/>
                <w:sz w:val="24"/>
              </w:rPr>
            </w:pPr>
          </w:p>
        </w:tc>
        <w:tc>
          <w:tcPr>
            <w:tcW w:w="1134" w:type="dxa"/>
            <w:vAlign w:val="center"/>
          </w:tcPr>
          <w:p>
            <w:pPr>
              <w:spacing w:line="300" w:lineRule="exact"/>
              <w:rPr>
                <w:rFonts w:asciiTheme="minorEastAsia" w:hAnsiTheme="minorEastAsia" w:eastAsiaTheme="minorEastAsia"/>
                <w:sz w:val="24"/>
              </w:rPr>
            </w:pPr>
          </w:p>
        </w:tc>
        <w:tc>
          <w:tcPr>
            <w:tcW w:w="2464" w:type="dxa"/>
            <w:gridSpan w:val="2"/>
            <w:vAlign w:val="center"/>
          </w:tcPr>
          <w:p>
            <w:pPr>
              <w:spacing w:line="300" w:lineRule="exact"/>
              <w:rPr>
                <w:rFonts w:asciiTheme="minorEastAsia" w:hAnsiTheme="minorEastAsia" w:eastAsiaTheme="minorEastAsia"/>
                <w:sz w:val="24"/>
              </w:rPr>
            </w:pPr>
          </w:p>
        </w:tc>
        <w:tc>
          <w:tcPr>
            <w:tcW w:w="1518" w:type="dxa"/>
            <w:vAlign w:val="center"/>
          </w:tcPr>
          <w:p>
            <w:pPr>
              <w:spacing w:line="300" w:lineRule="exact"/>
              <w:rPr>
                <w:rFonts w:asciiTheme="minorEastAsia" w:hAnsiTheme="minorEastAsia" w:eastAsiaTheme="minorEastAsia"/>
                <w:sz w:val="24"/>
              </w:rPr>
            </w:pPr>
          </w:p>
        </w:tc>
        <w:tc>
          <w:tcPr>
            <w:tcW w:w="1268" w:type="dxa"/>
            <w:gridSpan w:val="2"/>
            <w:vAlign w:val="center"/>
          </w:tcPr>
          <w:p>
            <w:pPr>
              <w:spacing w:line="300" w:lineRule="exact"/>
              <w:rPr>
                <w:rFonts w:asciiTheme="minorEastAsia" w:hAnsiTheme="minorEastAsia" w:eastAsiaTheme="minorEastAsia"/>
                <w:sz w:val="24"/>
              </w:rPr>
            </w:pPr>
          </w:p>
        </w:tc>
        <w:tc>
          <w:tcPr>
            <w:tcW w:w="884" w:type="dxa"/>
            <w:vAlign w:val="center"/>
          </w:tcPr>
          <w:p>
            <w:pPr>
              <w:spacing w:line="30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647" w:type="dxa"/>
            <w:gridSpan w:val="2"/>
            <w:vMerge w:val="restart"/>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论文计量学指标</w:t>
            </w:r>
          </w:p>
        </w:tc>
        <w:tc>
          <w:tcPr>
            <w:tcW w:w="1314" w:type="dxa"/>
            <w:vMerge w:val="restart"/>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中文论文</w:t>
            </w:r>
          </w:p>
        </w:tc>
        <w:tc>
          <w:tcPr>
            <w:tcW w:w="1150" w:type="dxa"/>
            <w:vMerge w:val="restart"/>
            <w:vAlign w:val="center"/>
          </w:tcPr>
          <w:p>
            <w:pPr>
              <w:spacing w:line="300" w:lineRule="exact"/>
              <w:rPr>
                <w:rFonts w:asciiTheme="minorEastAsia" w:hAnsiTheme="minorEastAsia" w:eastAsiaTheme="minorEastAsia"/>
                <w:sz w:val="24"/>
              </w:rPr>
            </w:pPr>
            <w:r>
              <w:rPr>
                <w:rFonts w:asciiTheme="minorEastAsia" w:hAnsiTheme="minorEastAsia" w:eastAsiaTheme="minorEastAsia"/>
                <w:sz w:val="24"/>
              </w:rPr>
              <w:t>数据库</w:t>
            </w:r>
          </w:p>
        </w:tc>
        <w:tc>
          <w:tcPr>
            <w:tcW w:w="1518" w:type="dxa"/>
            <w:vMerge w:val="restart"/>
            <w:vAlign w:val="center"/>
          </w:tcPr>
          <w:p>
            <w:pPr>
              <w:spacing w:line="300" w:lineRule="exact"/>
              <w:rPr>
                <w:rFonts w:asciiTheme="minorEastAsia" w:hAnsiTheme="minorEastAsia" w:eastAsiaTheme="minorEastAsia"/>
                <w:sz w:val="24"/>
              </w:rPr>
            </w:pPr>
            <w:r>
              <w:rPr>
                <w:rFonts w:asciiTheme="minorEastAsia" w:hAnsiTheme="minorEastAsia" w:eastAsiaTheme="minorEastAsia"/>
                <w:sz w:val="24"/>
              </w:rPr>
              <w:t>（选填</w:t>
            </w:r>
            <w:r>
              <w:rPr>
                <w:rFonts w:hint="eastAsia" w:asciiTheme="minorEastAsia" w:hAnsiTheme="minorEastAsia" w:eastAsiaTheme="minorEastAsia"/>
                <w:sz w:val="24"/>
              </w:rPr>
              <w:t>1</w:t>
            </w:r>
            <w:r>
              <w:rPr>
                <w:rFonts w:asciiTheme="minorEastAsia" w:hAnsiTheme="minorEastAsia" w:eastAsiaTheme="minorEastAsia"/>
                <w:sz w:val="24"/>
              </w:rPr>
              <w:t>种）</w:t>
            </w:r>
          </w:p>
        </w:tc>
        <w:tc>
          <w:tcPr>
            <w:tcW w:w="1260"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被引次数</w:t>
            </w:r>
          </w:p>
        </w:tc>
        <w:tc>
          <w:tcPr>
            <w:tcW w:w="892" w:type="dxa"/>
            <w:gridSpan w:val="2"/>
            <w:vAlign w:val="center"/>
          </w:tcPr>
          <w:p>
            <w:pPr>
              <w:spacing w:line="300" w:lineRule="exact"/>
              <w:ind w:firstLine="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647" w:type="dxa"/>
            <w:gridSpan w:val="2"/>
            <w:vMerge w:val="continue"/>
            <w:vAlign w:val="center"/>
          </w:tcPr>
          <w:p>
            <w:pPr>
              <w:spacing w:line="300" w:lineRule="exact"/>
              <w:jc w:val="center"/>
              <w:rPr>
                <w:rFonts w:asciiTheme="minorEastAsia" w:hAnsiTheme="minorEastAsia" w:eastAsiaTheme="minorEastAsia"/>
                <w:sz w:val="24"/>
              </w:rPr>
            </w:pPr>
          </w:p>
        </w:tc>
        <w:tc>
          <w:tcPr>
            <w:tcW w:w="1314" w:type="dxa"/>
            <w:vMerge w:val="continue"/>
            <w:vAlign w:val="center"/>
          </w:tcPr>
          <w:p>
            <w:pPr>
              <w:spacing w:line="300" w:lineRule="exact"/>
              <w:ind w:firstLine="200"/>
              <w:rPr>
                <w:rFonts w:asciiTheme="minorEastAsia" w:hAnsiTheme="minorEastAsia" w:eastAsiaTheme="minorEastAsia"/>
                <w:sz w:val="24"/>
              </w:rPr>
            </w:pPr>
          </w:p>
        </w:tc>
        <w:tc>
          <w:tcPr>
            <w:tcW w:w="1150" w:type="dxa"/>
            <w:vMerge w:val="continue"/>
            <w:vAlign w:val="center"/>
          </w:tcPr>
          <w:p>
            <w:pPr>
              <w:spacing w:line="300" w:lineRule="exact"/>
              <w:ind w:firstLine="200"/>
              <w:rPr>
                <w:rFonts w:asciiTheme="minorEastAsia" w:hAnsiTheme="minorEastAsia" w:eastAsiaTheme="minorEastAsia"/>
                <w:sz w:val="24"/>
              </w:rPr>
            </w:pPr>
          </w:p>
        </w:tc>
        <w:tc>
          <w:tcPr>
            <w:tcW w:w="1518" w:type="dxa"/>
            <w:vMerge w:val="continue"/>
            <w:vAlign w:val="center"/>
          </w:tcPr>
          <w:p>
            <w:pPr>
              <w:spacing w:line="300" w:lineRule="exact"/>
              <w:rPr>
                <w:rFonts w:asciiTheme="minorEastAsia" w:hAnsiTheme="minorEastAsia" w:eastAsiaTheme="minorEastAsia"/>
                <w:sz w:val="24"/>
              </w:rPr>
            </w:pPr>
          </w:p>
        </w:tc>
        <w:tc>
          <w:tcPr>
            <w:tcW w:w="1260" w:type="dxa"/>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下载次数</w:t>
            </w:r>
          </w:p>
        </w:tc>
        <w:tc>
          <w:tcPr>
            <w:tcW w:w="892" w:type="dxa"/>
            <w:gridSpan w:val="2"/>
            <w:vAlign w:val="center"/>
          </w:tcPr>
          <w:p>
            <w:pPr>
              <w:spacing w:line="300" w:lineRule="exact"/>
              <w:ind w:firstLine="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647" w:type="dxa"/>
            <w:gridSpan w:val="2"/>
            <w:vMerge w:val="continue"/>
            <w:vAlign w:val="center"/>
          </w:tcPr>
          <w:p>
            <w:pPr>
              <w:spacing w:line="300" w:lineRule="exact"/>
              <w:jc w:val="center"/>
              <w:rPr>
                <w:rFonts w:asciiTheme="minorEastAsia" w:hAnsiTheme="minorEastAsia" w:eastAsiaTheme="minorEastAsia"/>
                <w:sz w:val="24"/>
              </w:rPr>
            </w:pPr>
          </w:p>
        </w:tc>
        <w:tc>
          <w:tcPr>
            <w:tcW w:w="1314" w:type="dxa"/>
            <w:vMerge w:val="restart"/>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英文论文</w:t>
            </w:r>
          </w:p>
        </w:tc>
        <w:tc>
          <w:tcPr>
            <w:tcW w:w="2668" w:type="dxa"/>
            <w:gridSpan w:val="2"/>
            <w:vAlign w:val="center"/>
          </w:tcPr>
          <w:p>
            <w:pPr>
              <w:spacing w:line="300" w:lineRule="exact"/>
              <w:rPr>
                <w:rFonts w:asciiTheme="minorEastAsia" w:hAnsiTheme="minorEastAsia" w:eastAsiaTheme="minorEastAsia"/>
                <w:sz w:val="24"/>
              </w:rPr>
            </w:pPr>
            <w:r>
              <w:rPr>
                <w:rFonts w:asciiTheme="minorEastAsia" w:hAnsiTheme="minorEastAsia" w:eastAsiaTheme="minorEastAsia"/>
                <w:sz w:val="24"/>
              </w:rPr>
              <w:t>WoS</w:t>
            </w:r>
            <w:r>
              <w:rPr>
                <w:rFonts w:hint="eastAsia" w:asciiTheme="minorEastAsia" w:hAnsiTheme="minorEastAsia" w:eastAsiaTheme="minorEastAsia"/>
                <w:sz w:val="24"/>
              </w:rPr>
              <w:t>被引次数</w:t>
            </w:r>
          </w:p>
        </w:tc>
        <w:tc>
          <w:tcPr>
            <w:tcW w:w="2152" w:type="dxa"/>
            <w:gridSpan w:val="3"/>
            <w:vAlign w:val="center"/>
          </w:tcPr>
          <w:p>
            <w:pPr>
              <w:spacing w:line="300" w:lineRule="exact"/>
              <w:ind w:firstLine="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647" w:type="dxa"/>
            <w:gridSpan w:val="2"/>
            <w:vMerge w:val="continue"/>
            <w:vAlign w:val="center"/>
          </w:tcPr>
          <w:p>
            <w:pPr>
              <w:spacing w:line="300" w:lineRule="exact"/>
              <w:jc w:val="center"/>
              <w:rPr>
                <w:rFonts w:asciiTheme="minorEastAsia" w:hAnsiTheme="minorEastAsia" w:eastAsiaTheme="minorEastAsia"/>
                <w:sz w:val="24"/>
              </w:rPr>
            </w:pPr>
          </w:p>
        </w:tc>
        <w:tc>
          <w:tcPr>
            <w:tcW w:w="1314" w:type="dxa"/>
            <w:vMerge w:val="continue"/>
            <w:vAlign w:val="center"/>
          </w:tcPr>
          <w:p>
            <w:pPr>
              <w:spacing w:line="300" w:lineRule="exact"/>
              <w:ind w:firstLine="200"/>
              <w:rPr>
                <w:rFonts w:asciiTheme="minorEastAsia" w:hAnsiTheme="minorEastAsia" w:eastAsiaTheme="minorEastAsia"/>
                <w:sz w:val="24"/>
              </w:rPr>
            </w:pPr>
          </w:p>
        </w:tc>
        <w:tc>
          <w:tcPr>
            <w:tcW w:w="2668" w:type="dxa"/>
            <w:gridSpan w:val="2"/>
            <w:vAlign w:val="center"/>
          </w:tcPr>
          <w:p>
            <w:pPr>
              <w:spacing w:line="300" w:lineRule="exact"/>
              <w:rPr>
                <w:rFonts w:asciiTheme="minorEastAsia" w:hAnsiTheme="minorEastAsia" w:eastAsiaTheme="minorEastAsia"/>
                <w:sz w:val="24"/>
              </w:rPr>
            </w:pPr>
            <w:r>
              <w:rPr>
                <w:rFonts w:asciiTheme="minorEastAsia" w:hAnsiTheme="minorEastAsia" w:eastAsiaTheme="minorEastAsia"/>
                <w:sz w:val="24"/>
              </w:rPr>
              <w:t>WoS</w:t>
            </w:r>
            <w:r>
              <w:rPr>
                <w:rFonts w:hint="eastAsia" w:asciiTheme="minorEastAsia" w:hAnsiTheme="minorEastAsia" w:eastAsiaTheme="minorEastAsia"/>
                <w:sz w:val="24"/>
              </w:rPr>
              <w:t>使用次数</w:t>
            </w:r>
          </w:p>
        </w:tc>
        <w:tc>
          <w:tcPr>
            <w:tcW w:w="2152" w:type="dxa"/>
            <w:gridSpan w:val="3"/>
            <w:vAlign w:val="center"/>
          </w:tcPr>
          <w:p>
            <w:pPr>
              <w:spacing w:line="300" w:lineRule="exact"/>
              <w:ind w:firstLine="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647" w:type="dxa"/>
            <w:gridSpan w:val="2"/>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论文何时受过何等奖励</w:t>
            </w:r>
          </w:p>
        </w:tc>
        <w:tc>
          <w:tcPr>
            <w:tcW w:w="6134" w:type="dxa"/>
            <w:gridSpan w:val="6"/>
            <w:vAlign w:val="center"/>
          </w:tcPr>
          <w:p>
            <w:pPr>
              <w:spacing w:line="300" w:lineRule="exact"/>
              <w:ind w:firstLine="200"/>
              <w:rPr>
                <w:rFonts w:asciiTheme="minorEastAsia" w:hAnsiTheme="minorEastAsia" w:eastAsiaTheme="minorEastAsia"/>
                <w:sz w:val="24"/>
              </w:rPr>
            </w:pPr>
          </w:p>
          <w:p>
            <w:pPr>
              <w:spacing w:line="300" w:lineRule="exact"/>
              <w:ind w:firstLine="200"/>
              <w:rPr>
                <w:rFonts w:asciiTheme="minorEastAsia" w:hAnsiTheme="minorEastAsia" w:eastAsiaTheme="minorEastAsia"/>
                <w:sz w:val="24"/>
              </w:rPr>
            </w:pPr>
          </w:p>
          <w:p>
            <w:pPr>
              <w:spacing w:line="300" w:lineRule="exact"/>
              <w:ind w:firstLine="200"/>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1" w:type="dxa"/>
            <w:gridSpan w:val="8"/>
            <w:vAlign w:val="center"/>
          </w:tcPr>
          <w:p>
            <w:pPr>
              <w:spacing w:line="594" w:lineRule="exact"/>
              <w:rPr>
                <w:rFonts w:hint="eastAsia" w:asciiTheme="minorEastAsia" w:hAnsiTheme="minorEastAsia" w:eastAsiaTheme="minorEastAsia"/>
                <w:sz w:val="24"/>
              </w:rPr>
            </w:pPr>
            <w:r>
              <w:rPr>
                <w:rFonts w:hint="eastAsia" w:asciiTheme="minorEastAsia" w:hAnsiTheme="minorEastAsia" w:eastAsiaTheme="minorEastAsia"/>
                <w:sz w:val="24"/>
              </w:rPr>
              <w:t>论文摘要（外文论文同时提供原文和中文，中文不超过500字）</w:t>
            </w:r>
          </w:p>
          <w:p>
            <w:pPr>
              <w:spacing w:line="594" w:lineRule="exact"/>
              <w:rPr>
                <w:rFonts w:hint="eastAsia" w:asciiTheme="minorEastAsia" w:hAnsiTheme="minorEastAsia" w:eastAsiaTheme="minorEastAsia"/>
                <w:sz w:val="24"/>
              </w:rPr>
            </w:pPr>
            <w:r>
              <w:rPr>
                <w:rFonts w:hint="eastAsia" w:asciiTheme="minorEastAsia" w:hAnsiTheme="minorEastAsia" w:eastAsiaTheme="minorEastAsia"/>
                <w:sz w:val="24"/>
              </w:rPr>
              <w:t>原文</w:t>
            </w:r>
          </w:p>
          <w:p>
            <w:pPr>
              <w:spacing w:line="300" w:lineRule="exact"/>
              <w:rPr>
                <w:rFonts w:hint="eastAsia" w:asciiTheme="minorEastAsia" w:hAnsiTheme="minorEastAsia" w:eastAsiaTheme="minorEastAsia"/>
                <w:sz w:val="24"/>
              </w:rPr>
            </w:pPr>
            <w:r>
              <w:rPr>
                <w:rFonts w:hint="eastAsia" w:asciiTheme="minorEastAsia" w:hAnsiTheme="minorEastAsia" w:eastAsiaTheme="minorEastAsia"/>
                <w:sz w:val="24"/>
              </w:rPr>
              <w:t>Objectives</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Hepatic impairment increases the risk of drug overexposure in septic patients. However, there is a lack of effective indicators to predict overexposure risk. The indocyanine green (ICG) clearance test is a helpful method for dynamically assessing hepatic function and perfusion. This study aimed to investigate whether the ICG test could serve as a potential predictor of linezolid trough concentration (Cmin) and to compare its efficacy with that of conventional liver function markers.</w:t>
            </w:r>
          </w:p>
          <w:p>
            <w:pPr>
              <w:spacing w:line="300" w:lineRule="exact"/>
              <w:rPr>
                <w:rFonts w:hint="eastAsia" w:asciiTheme="minorEastAsia" w:hAnsiTheme="minorEastAsia" w:eastAsiaTheme="minorEastAsia"/>
                <w:sz w:val="24"/>
              </w:rPr>
            </w:pPr>
            <w:r>
              <w:rPr>
                <w:rFonts w:hint="eastAsia" w:asciiTheme="minorEastAsia" w:hAnsiTheme="minorEastAsia" w:eastAsiaTheme="minorEastAsia"/>
                <w:sz w:val="24"/>
              </w:rPr>
              <w:t>Methods</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A total of 35 consecutive septic patients treated with linezolid were grouped into either linezolid Cmin of ≤7 µg/mL or &gt;7 µg/mL. Correlations between linezolid Cmin and ICG-PDR (plasma disappearance rate), ICG-R15 (retention ratio after 15 min) and other traditional indicators were analysed by Spearman's rank test. A multivariable regression model was employed to discern factors contributing independently to overexposure.</w:t>
            </w:r>
          </w:p>
          <w:p>
            <w:pPr>
              <w:spacing w:line="300" w:lineRule="exact"/>
              <w:rPr>
                <w:rFonts w:hint="eastAsia" w:asciiTheme="minorEastAsia" w:hAnsiTheme="minorEastAsia" w:eastAsiaTheme="minorEastAsia"/>
                <w:sz w:val="24"/>
              </w:rPr>
            </w:pPr>
            <w:r>
              <w:rPr>
                <w:rFonts w:hint="eastAsia" w:asciiTheme="minorEastAsia" w:hAnsiTheme="minorEastAsia" w:eastAsiaTheme="minorEastAsia"/>
                <w:sz w:val="24"/>
              </w:rPr>
              <w:t>Results</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Statistical differences were observed between groups for APACHE II score (P = 0.031), SOFA score (P = 0.018), creatinine clearance (CLCr) (P = 0.003), thrombocytes (P = 0.039), lactate (P = 0.003), ICG-PDR (P &lt; 0.001) and ICG-R15 (P &lt; 0.001). Moreover, linezolid Cmin was correlated with ICG-PDR (ρ = –0.628, P &lt; 0.001), ICG-R15 (ρ = 0.676, P &lt; 0.001) and CLCr (ρ = –0.503, P = 0.002). ICG-PDR was identified as an independent predictor of linezolid overexposure, with an optimal cut-off value of 17.70%/min (93.3% sensitivity, 85.0% specificity; P &lt; 0.001).</w:t>
            </w:r>
          </w:p>
          <w:p>
            <w:pPr>
              <w:spacing w:line="300" w:lineRule="exact"/>
              <w:rPr>
                <w:rFonts w:hint="eastAsia" w:asciiTheme="minorEastAsia" w:hAnsiTheme="minorEastAsia" w:eastAsiaTheme="minorEastAsia"/>
                <w:sz w:val="24"/>
              </w:rPr>
            </w:pPr>
            <w:r>
              <w:rPr>
                <w:rFonts w:hint="eastAsia" w:asciiTheme="minorEastAsia" w:hAnsiTheme="minorEastAsia" w:eastAsiaTheme="minorEastAsia"/>
                <w:sz w:val="24"/>
              </w:rPr>
              <w:t>Conclusions</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This pilot clinical trial represents the first investigation of potential of the ICG test to predict linezolid overexposure in septic patients.</w:t>
            </w:r>
          </w:p>
          <w:p>
            <w:pPr>
              <w:spacing w:line="300" w:lineRule="exact"/>
              <w:rPr>
                <w:rFonts w:hint="eastAsia" w:asciiTheme="minorEastAsia" w:hAnsiTheme="minorEastAsia" w:eastAsiaTheme="minorEastAsia"/>
                <w:sz w:val="24"/>
              </w:rPr>
            </w:pPr>
            <w:r>
              <w:rPr>
                <w:rFonts w:hint="eastAsia" w:asciiTheme="minorEastAsia" w:hAnsiTheme="minorEastAsia" w:eastAsiaTheme="minorEastAsia"/>
                <w:sz w:val="24"/>
              </w:rPr>
              <w:t>中文</w:t>
            </w:r>
          </w:p>
          <w:p>
            <w:pPr>
              <w:pStyle w:val="3"/>
              <w:rPr>
                <w:rFonts w:hint="eastAsia" w:asciiTheme="minorEastAsia" w:hAnsiTheme="minorEastAsia" w:eastAsiaTheme="minorEastAsia"/>
                <w:sz w:val="24"/>
              </w:rPr>
            </w:pPr>
            <w:r>
              <w:rPr>
                <w:rFonts w:hint="eastAsia" w:asciiTheme="minorEastAsia" w:hAnsiTheme="minorEastAsia" w:eastAsiaTheme="minorEastAsia"/>
                <w:sz w:val="24"/>
              </w:rPr>
              <w:t>目标</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肝功能损害会增加脓毒症患者药物过度暴露的风险。然而，缺乏有效的指标来预测过度暴露风险。吲哚菁绿（ICG）清除试验是动态评估肝功能和灌注的有用方法。本研究旨在探讨 ICG 测试是否可以作为利奈唑胺谷浓度 ( C min ) 的潜在预测指标，并将其与传统肝功能标志物的疗效进行比较。</w:t>
            </w:r>
          </w:p>
          <w:p>
            <w:pPr>
              <w:pStyle w:val="3"/>
              <w:rPr>
                <w:rFonts w:hint="eastAsia" w:asciiTheme="minorEastAsia" w:hAnsiTheme="minorEastAsia" w:eastAsiaTheme="minorEastAsia"/>
                <w:sz w:val="24"/>
              </w:rPr>
            </w:pPr>
            <w:r>
              <w:rPr>
                <w:rFonts w:hint="eastAsia" w:asciiTheme="minorEastAsia" w:hAnsiTheme="minorEastAsia" w:eastAsiaTheme="minorEastAsia"/>
                <w:sz w:val="24"/>
              </w:rPr>
              <w:t>方法</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总共 35 名连续接受利奈唑胺治疗的脓毒症患者被分为利奈唑胺C min ≤7 µg/mL 或 &gt;7 µg/mL 组。采用Spearman等级检验分析利奈唑胺C min与ICG-PDR（血浆消失率）、ICG-R15（15 min后保留率）等传统指标的相关性。采用多变量回归模型来辨别导致过度暴露的独立因素。</w:t>
            </w:r>
          </w:p>
          <w:p>
            <w:pPr>
              <w:pStyle w:val="3"/>
              <w:rPr>
                <w:rFonts w:hint="eastAsia" w:asciiTheme="minorEastAsia" w:hAnsiTheme="minorEastAsia" w:eastAsiaTheme="minorEastAsia"/>
                <w:sz w:val="24"/>
              </w:rPr>
            </w:pPr>
            <w:r>
              <w:rPr>
                <w:rFonts w:hint="eastAsia" w:asciiTheme="minorEastAsia" w:hAnsiTheme="minorEastAsia" w:eastAsiaTheme="minorEastAsia"/>
                <w:sz w:val="24"/>
              </w:rPr>
              <w:t>结果</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组间APACHE II评分（P  =0.031）、SOFA评分（P  =0.018）、肌酐清除率（CL Cr）（P  =0.003）、血小板（P  =0.039）、乳酸（P  =0.003）、 ICG-PDR（P &lt;0.001）和ICG-R15（P &lt;0.001）。此外，利奈唑胺C min与 ICG-PDR (ρ = –0.628， P &lt; 0.001)、ICG-R15 (ρ = 0.676，P &lt; 0.001) 和 CL Cr (ρ = –0.503，P = 0.002)相关 。 ICG-PDR 被确定为利奈唑胺过度暴露的独立预测因子，最佳截止值为 17.70%/min（敏感性 93.3%，特异性 85.0%；P &lt; 0.001）。</w:t>
            </w:r>
          </w:p>
          <w:p>
            <w:pPr>
              <w:pStyle w:val="3"/>
              <w:rPr>
                <w:rFonts w:asciiTheme="minorEastAsia" w:hAnsiTheme="minorEastAsia" w:eastAsiaTheme="minorEastAsia"/>
              </w:rPr>
            </w:pPr>
            <w:r>
              <w:rPr>
                <w:rFonts w:hint="eastAsia" w:asciiTheme="minorEastAsia" w:hAnsiTheme="minorEastAsia" w:eastAsiaTheme="minorEastAsia"/>
                <w:sz w:val="24"/>
              </w:rPr>
              <w:t>结论</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这项临床试验是对 ICG 测试预测脓毒症患者利奈唑胺过度暴露潜力的首次研究。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781" w:type="dxa"/>
            <w:gridSpan w:val="8"/>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研究背景（简要介绍国内外相近领域研究进展情况，学术研究、产业转化等方面的需求及重要性，500字以内）</w:t>
            </w:r>
          </w:p>
          <w:p>
            <w:pPr>
              <w:pStyle w:val="3"/>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症监护病房（ICU）患者的脓毒症通常是由细菌感染引起的[1]，常常导致严重的器官功能障碍。细菌性败血症和感染性休克危重患者的抗生素剂量选择具有挑战性[2]。对于通过肾脏消除的药物，剂量建议通常取决于肌酐清除率(CL Cr ) [3]。同样，还应考虑肝功能障碍，特别是在使用肝代谢药物和抗生素的情况下[4] 。肝脏的血流量和灌注与药物清除有关。然而，缺乏评估肝脏灌注的可靠方法，这限制了抗生素剂量选择和调整的选择。已经提出了各种技术来评估肝灌注和功能，但是它们的常规临床使用因其方法学要求和昂贵设备的需要而受到阻碍[5]。</w:t>
            </w:r>
          </w:p>
          <w:p>
            <w:pPr>
              <w:pStyle w:val="3"/>
              <w:ind w:firstLine="480" w:firstLineChars="200"/>
              <w:rPr>
                <w:rFonts w:asciiTheme="minorEastAsia" w:hAnsiTheme="minorEastAsia" w:eastAsiaTheme="minorEastAsia"/>
              </w:rPr>
            </w:pPr>
            <w:r>
              <w:rPr>
                <w:rFonts w:hint="eastAsia" w:asciiTheme="minorEastAsia" w:hAnsiTheme="minorEastAsia" w:eastAsiaTheme="minorEastAsia"/>
                <w:sz w:val="24"/>
                <w:szCs w:val="24"/>
              </w:rPr>
              <w:t>利奈唑胺是一种合成恶唑烷酮类抗生素，用于治疗耐药革兰氏阳性菌引起的感染，特别是多重耐药菌，如金黄色葡萄球菌、粪肠球菌等。约65%的利奈唑胺经过非肾脏消除，其中高达30%药物以原形通过肾途径排泄[6] 。近年来，多项研究表明，肝和/或肾功能不全的危重患者的药代动力学变异性增加，导致接受标准剂量时利奈唑胺血清谷浓度（Cmin ）存在显着的个体差异[ 7 , 8 ]。因此，评估肝脏灌注和功能的可靠方法可能有助于澄清和预测利奈唑胺Cmin。吲哚菁绿(ICG) 清除试验取决于肝脏灌注和肝细胞代谢。静脉注射后，ICG 与血清蛋白结合并被肝细胞有效吸收。然后它以游离形式分泌到胆汁中，不经过肠肝循环。在体内，ICG呈指数衰减。连续测量可用于描绘浓度-时间曲线。曲线拟合为CICG( t ) = C0 × e−k × t (e = 2.718)，其中t代表时间 (min)，CICG( t )t处的 ICG 浓度。曲线线性段的负斜率表示随时间变化的百分比，称为ICG血浆消失率（ICG-PDR），也称为k值。 15分钟后ICG保留率（ICG-R15）可计算为（CICG(15)/CICG(0) ) × 100。作为动态肝功能测试，ICG清除测试不仅在以下情况下建立：肝切除和移植术前和术后，也 适用于病情危重的患者，例如脓毒症患者[9]、 [10]、 [11]、 [12]。然而，尚未用于预测脓毒症患者利奈唑胺过度暴露。本研究旨在预测利奈唑胺Cmin在一组脓毒症患者中使用 ICG 清除测试和其他传统指标。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8781" w:type="dxa"/>
            <w:gridSpan w:val="8"/>
            <w:vAlign w:val="center"/>
          </w:tcPr>
          <w:p>
            <w:pPr>
              <w:spacing w:line="594" w:lineRule="exact"/>
              <w:rPr>
                <w:rFonts w:asciiTheme="minorEastAsia" w:hAnsiTheme="minorEastAsia" w:eastAsiaTheme="minorEastAsia"/>
                <w:sz w:val="24"/>
              </w:rPr>
            </w:pPr>
            <w:r>
              <w:rPr>
                <w:rFonts w:hint="eastAsia" w:asciiTheme="minorEastAsia" w:hAnsiTheme="minorEastAsia" w:eastAsiaTheme="minorEastAsia"/>
                <w:sz w:val="24"/>
              </w:rPr>
              <w:t>取得成果（简要介绍论文开展的主要工作和研究发现，5</w:t>
            </w:r>
            <w:r>
              <w:rPr>
                <w:rFonts w:asciiTheme="minorEastAsia" w:hAnsiTheme="minorEastAsia" w:eastAsiaTheme="minorEastAsia"/>
                <w:sz w:val="24"/>
              </w:rPr>
              <w:t>00</w:t>
            </w:r>
            <w:r>
              <w:rPr>
                <w:rFonts w:hint="eastAsia" w:asciiTheme="minorEastAsia" w:hAnsiTheme="minorEastAsia" w:eastAsiaTheme="minorEastAsia"/>
                <w:sz w:val="24"/>
              </w:rPr>
              <w:t>字以内）</w:t>
            </w:r>
          </w:p>
          <w:p>
            <w:pPr>
              <w:spacing w:line="594"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脓毒症会引起许多生理变化，影响药物的处置和代谢。脓毒症患者的肾脏和肝脏损伤给临床医生做出适当的抗菌药物剂量决策带来了严峻的挑战。与可用于检测肾消除药物效果的各种肾功能标志物相比，肝脏缺乏同等可靠的指标。由于许多药物通过不同的代谢途径被肝脏消除，因此肝功能被认为是药物反应的重要因素。肝脏最大容量（LiMAx）测试是在各种临床环境中评估肝功能的可靠方法。此外，它已被证明可以解释利奈唑胺清除率的变异性。然而，必须指出的是，LiMAx 测试基于肝细胞特异性CYP1A2系统，该系统可能会受到同时服用的通过相同途径代谢的药物的影响，例如环丙沙星和普罗帕酮 [16]。在本研究中，我们选择稳态利奈唑胺治疗下的ICG清除率试验来评价药物清除率。选择这一点是因为 ICG 清除测试预计受共病条件的影响较小。我们证明 ICG 对利奈唑胺过度暴露具有预测价值。</w:t>
            </w:r>
          </w:p>
          <w:p>
            <w:pPr>
              <w:pStyle w:val="3"/>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2" w:hRule="atLeast"/>
          <w:jc w:val="center"/>
        </w:trPr>
        <w:tc>
          <w:tcPr>
            <w:tcW w:w="8781" w:type="dxa"/>
            <w:gridSpan w:val="8"/>
          </w:tcPr>
          <w:p>
            <w:pPr>
              <w:pStyle w:val="3"/>
              <w:rPr>
                <w:rFonts w:asciiTheme="minorEastAsia" w:hAnsiTheme="minorEastAsia" w:eastAsiaTheme="minorEastAsia"/>
                <w:sz w:val="24"/>
              </w:rPr>
            </w:pPr>
            <w:r>
              <w:rPr>
                <w:rFonts w:asciiTheme="minorEastAsia" w:hAnsiTheme="minorEastAsia" w:eastAsiaTheme="minorEastAsia"/>
                <w:sz w:val="24"/>
              </w:rPr>
              <w:t>创新亮点（简要阐述</w:t>
            </w:r>
            <w:r>
              <w:rPr>
                <w:rFonts w:hint="eastAsia" w:asciiTheme="minorEastAsia" w:hAnsiTheme="minorEastAsia" w:eastAsiaTheme="minorEastAsia"/>
                <w:sz w:val="24"/>
              </w:rPr>
              <w:t>论文的创新性、科学性及应用价值，5</w:t>
            </w:r>
            <w:r>
              <w:rPr>
                <w:rFonts w:asciiTheme="minorEastAsia" w:hAnsiTheme="minorEastAsia" w:eastAsiaTheme="minorEastAsia"/>
                <w:sz w:val="24"/>
              </w:rPr>
              <w:t>00</w:t>
            </w:r>
            <w:r>
              <w:rPr>
                <w:rFonts w:hint="eastAsia" w:asciiTheme="minorEastAsia" w:hAnsiTheme="minorEastAsia" w:eastAsiaTheme="minorEastAsia"/>
                <w:sz w:val="24"/>
              </w:rPr>
              <w:t>字以内</w:t>
            </w:r>
            <w:r>
              <w:rPr>
                <w:rFonts w:asciiTheme="minorEastAsia" w:hAnsiTheme="minorEastAsia" w:eastAsiaTheme="minorEastAsia"/>
                <w:sz w:val="24"/>
              </w:rPr>
              <w:t>）</w:t>
            </w:r>
          </w:p>
          <w:p>
            <w:pPr>
              <w:numPr>
                <w:ilvl w:val="0"/>
                <w:numId w:val="1"/>
              </w:numPr>
              <w:ind w:left="425" w:leftChars="0" w:hanging="425" w:firstLineChars="0"/>
              <w:rPr>
                <w:rFonts w:hint="eastAsia" w:asciiTheme="minorEastAsia" w:hAnsiTheme="minorEastAsia" w:eastAsiaTheme="minorEastAsia"/>
              </w:rPr>
            </w:pPr>
            <w:r>
              <w:rPr>
                <w:rFonts w:hint="eastAsia" w:asciiTheme="minorEastAsia" w:hAnsiTheme="minorEastAsia" w:eastAsiaTheme="minorEastAsia"/>
              </w:rPr>
              <w:t>肝功能损害会增加脓毒症患者药物过度暴露的风险。</w:t>
            </w:r>
          </w:p>
          <w:p>
            <w:pPr>
              <w:numPr>
                <w:ilvl w:val="0"/>
                <w:numId w:val="1"/>
              </w:numPr>
              <w:ind w:left="425" w:leftChars="0" w:hanging="425" w:firstLineChars="0"/>
              <w:rPr>
                <w:rFonts w:hint="eastAsia" w:asciiTheme="minorEastAsia" w:hAnsiTheme="minorEastAsia" w:eastAsiaTheme="minorEastAsia"/>
              </w:rPr>
            </w:pPr>
            <w:r>
              <w:rPr>
                <w:rFonts w:hint="eastAsia" w:asciiTheme="minorEastAsia" w:hAnsiTheme="minorEastAsia" w:eastAsiaTheme="minorEastAsia"/>
              </w:rPr>
              <w:t>迄今为止，尚缺乏有效的指标来预测利奈唑胺过度暴露风险。</w:t>
            </w:r>
          </w:p>
          <w:p>
            <w:pPr>
              <w:numPr>
                <w:ilvl w:val="0"/>
                <w:numId w:val="1"/>
              </w:numPr>
              <w:ind w:left="425" w:leftChars="0" w:hanging="425" w:firstLineChars="0"/>
              <w:rPr>
                <w:rFonts w:hint="eastAsia" w:asciiTheme="minorEastAsia" w:hAnsiTheme="minorEastAsia" w:eastAsiaTheme="minorEastAsia"/>
              </w:rPr>
            </w:pPr>
            <w:r>
              <w:rPr>
                <w:rFonts w:hint="eastAsia" w:asciiTheme="minorEastAsia" w:hAnsiTheme="minorEastAsia" w:eastAsiaTheme="minorEastAsia"/>
              </w:rPr>
              <w:t>ICG-PDR 是利奈唑胺过度暴露的独立预测因子。</w:t>
            </w:r>
          </w:p>
          <w:p>
            <w:pPr>
              <w:numPr>
                <w:ilvl w:val="0"/>
                <w:numId w:val="1"/>
              </w:numPr>
              <w:ind w:left="425" w:leftChars="0" w:hanging="425" w:firstLineChars="0"/>
              <w:rPr>
                <w:rFonts w:asciiTheme="minorEastAsia" w:hAnsiTheme="minorEastAsia" w:eastAsiaTheme="minorEastAsia"/>
              </w:rPr>
            </w:pPr>
            <w:r>
              <w:rPr>
                <w:rFonts w:hint="eastAsia" w:asciiTheme="minorEastAsia" w:hAnsiTheme="minorEastAsia" w:eastAsiaTheme="minorEastAsia"/>
              </w:rPr>
              <w:t>ICG测试的首次试点应用证明了其预测脓毒症患者利奈唑胺过度暴露的潜力</w:t>
            </w:r>
            <w:r>
              <w:rPr>
                <w:rFonts w:hint="eastAsia" w:asciiTheme="minorEastAsia" w:hAnsiTheme="minorEastAsia" w:eastAsiaTheme="minorEastAsia"/>
                <w:lang w:eastAsia="zh-CN"/>
              </w:rPr>
              <w:t>。</w:t>
            </w:r>
          </w:p>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5" w:hRule="atLeast"/>
          <w:jc w:val="center"/>
        </w:trPr>
        <w:tc>
          <w:tcPr>
            <w:tcW w:w="8781" w:type="dxa"/>
            <w:gridSpan w:val="8"/>
            <w:vAlign w:val="center"/>
          </w:tcPr>
          <w:p>
            <w:pPr>
              <w:spacing w:line="300" w:lineRule="exact"/>
              <w:jc w:val="center"/>
              <w:rPr>
                <w:rFonts w:asciiTheme="minorEastAsia" w:hAnsiTheme="minorEastAsia" w:eastAsiaTheme="minorEastAsia"/>
                <w:sz w:val="24"/>
              </w:rPr>
            </w:pPr>
            <w:r>
              <w:rPr>
                <w:rFonts w:hint="eastAsia" w:asciiTheme="minorEastAsia" w:hAnsiTheme="minorEastAsia" w:eastAsiaTheme="minorEastAsia"/>
                <w:sz w:val="24"/>
              </w:rPr>
              <w:t>承诺书</w:t>
            </w:r>
          </w:p>
          <w:p>
            <w:pPr>
              <w:spacing w:line="3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本人郑重承诺：本次申报论文所填写数据均真实、有效、合法，不涉及保密内容，不存在学术伦理及学术不端问题。如有不实之处，愿负相应责任，并承担由此产生的一切后果。</w:t>
            </w:r>
          </w:p>
          <w:p>
            <w:pPr>
              <w:spacing w:line="300" w:lineRule="exact"/>
              <w:rPr>
                <w:rFonts w:asciiTheme="minorEastAsia" w:hAnsiTheme="minorEastAsia" w:eastAsiaTheme="minorEastAsia"/>
                <w:sz w:val="24"/>
              </w:rPr>
            </w:pPr>
          </w:p>
          <w:p>
            <w:pPr>
              <w:spacing w:line="300" w:lineRule="exact"/>
              <w:jc w:val="right"/>
              <w:rPr>
                <w:rFonts w:asciiTheme="minorEastAsia" w:hAnsiTheme="minorEastAsia" w:eastAsiaTheme="minorEastAsia"/>
                <w:sz w:val="24"/>
              </w:rPr>
            </w:pPr>
            <w:r>
              <w:rPr>
                <w:rFonts w:hint="eastAsia" w:asciiTheme="minorEastAsia" w:hAnsiTheme="minorEastAsia" w:eastAsiaTheme="minorEastAsia"/>
                <w:sz w:val="24"/>
              </w:rPr>
              <w:t>（申报作者签字）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5" w:hRule="atLeast"/>
          <w:jc w:val="center"/>
        </w:trPr>
        <w:tc>
          <w:tcPr>
            <w:tcW w:w="8781" w:type="dxa"/>
            <w:gridSpan w:val="8"/>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申报作者所在单意见：</w:t>
            </w:r>
          </w:p>
          <w:p>
            <w:pPr>
              <w:pStyle w:val="3"/>
              <w:rPr>
                <w:rFonts w:asciiTheme="minorEastAsia" w:hAnsiTheme="minorEastAsia" w:eastAsiaTheme="minorEastAsia"/>
              </w:rPr>
            </w:pPr>
          </w:p>
          <w:p>
            <w:pPr>
              <w:jc w:val="right"/>
              <w:rPr>
                <w:rFonts w:asciiTheme="minorEastAsia" w:hAnsiTheme="minorEastAsia" w:eastAsiaTheme="minorEastAsia"/>
              </w:rPr>
            </w:pPr>
            <w:r>
              <w:rPr>
                <w:rFonts w:asciiTheme="minorEastAsia" w:hAnsiTheme="minorEastAsia" w:eastAsiaTheme="minorEastAsia"/>
                <w:sz w:val="24"/>
              </w:rPr>
              <w:t>（作者所在单位盖章）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8781" w:type="dxa"/>
            <w:gridSpan w:val="8"/>
            <w:vAlign w:val="center"/>
          </w:tcPr>
          <w:p>
            <w:pPr>
              <w:spacing w:line="300" w:lineRule="exact"/>
              <w:rPr>
                <w:rFonts w:asciiTheme="minorEastAsia" w:hAnsiTheme="minorEastAsia" w:eastAsiaTheme="minorEastAsia"/>
                <w:sz w:val="24"/>
              </w:rPr>
            </w:pPr>
            <w:r>
              <w:rPr>
                <w:rFonts w:hint="eastAsia" w:asciiTheme="minorEastAsia" w:hAnsiTheme="minorEastAsia" w:eastAsiaTheme="minorEastAsia"/>
                <w:sz w:val="24"/>
              </w:rPr>
              <w:t>其他：（申报论文如有其他重要成就或影响，或曾作为某项科技成果、奖励的代表作，请在此栏填写并附支撑材料）</w:t>
            </w:r>
          </w:p>
          <w:p>
            <w:pPr>
              <w:rPr>
                <w:rFonts w:asciiTheme="minorEastAsia" w:hAnsiTheme="minorEastAsia" w:eastAsiaTheme="minorEastAsia"/>
              </w:rPr>
            </w:pPr>
          </w:p>
        </w:tc>
      </w:tr>
    </w:tbl>
    <w:p>
      <w:pPr>
        <w:pStyle w:val="3"/>
        <w:rPr>
          <w:rFonts w:ascii="仿宋_GB2312"/>
          <w:sz w:val="36"/>
          <w:szCs w:val="36"/>
        </w:rPr>
      </w:pPr>
    </w:p>
    <w:sectPr>
      <w:footerReference r:id="rId3" w:type="default"/>
      <w:footerReference r:id="rId4" w:type="even"/>
      <w:pgSz w:w="11906" w:h="16838"/>
      <w:pgMar w:top="1701" w:right="1701" w:bottom="1701" w:left="170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30"/>
        <w:szCs w:val="30"/>
      </w:rPr>
    </w:pPr>
    <w:sdt>
      <w:sdtPr>
        <w:id w:val="-1063946445"/>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3</w:t>
        </w:r>
        <w:r>
          <w:rPr>
            <w:sz w:val="30"/>
            <w:szCs w:val="30"/>
          </w:rPr>
          <w:fldChar w:fldCharType="end"/>
        </w:r>
        <w:r>
          <w:rPr>
            <w:rFonts w:hint="eastAsia"/>
            <w:sz w:val="30"/>
            <w:szCs w:val="30"/>
          </w:rPr>
          <w:t xml:space="preserve"> </w:t>
        </w:r>
      </w:sdtContent>
    </w:sdt>
    <w:r>
      <w:rPr>
        <w:rFonts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085553"/>
      <w:docPartObj>
        <w:docPartGallery w:val="autotext"/>
      </w:docPartObj>
    </w:sdtPr>
    <w:sdtEndPr>
      <w:rPr>
        <w:sz w:val="30"/>
        <w:szCs w:val="30"/>
      </w:rPr>
    </w:sdtEndPr>
    <w:sdtContent>
      <w:p>
        <w:pPr>
          <w:pStyle w:val="5"/>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7E11F"/>
    <w:multiLevelType w:val="singleLevel"/>
    <w:tmpl w:val="91D7E11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MjZiNTBlYjRjOGI3MWE4MDFiNDk3ZWZiYTYzOWMifQ=="/>
  </w:docVars>
  <w:rsids>
    <w:rsidRoot w:val="008A0957"/>
    <w:rsid w:val="00116F7B"/>
    <w:rsid w:val="00194A73"/>
    <w:rsid w:val="001C4495"/>
    <w:rsid w:val="0038751C"/>
    <w:rsid w:val="00491ACE"/>
    <w:rsid w:val="00576933"/>
    <w:rsid w:val="006F2C05"/>
    <w:rsid w:val="007561E4"/>
    <w:rsid w:val="00860534"/>
    <w:rsid w:val="008A0957"/>
    <w:rsid w:val="009B6672"/>
    <w:rsid w:val="00C4222A"/>
    <w:rsid w:val="00CF0393"/>
    <w:rsid w:val="00DC5D05"/>
    <w:rsid w:val="00DF1D98"/>
    <w:rsid w:val="00E9292E"/>
    <w:rsid w:val="00FC1909"/>
    <w:rsid w:val="1514612C"/>
    <w:rsid w:val="4198119F"/>
    <w:rsid w:val="72EB09D7"/>
    <w:rsid w:val="7FF1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4"/>
    <w:autoRedefine/>
    <w:unhideWhenUsed/>
    <w:qFormat/>
    <w:uiPriority w:val="99"/>
    <w:pPr>
      <w:adjustRightInd w:val="0"/>
      <w:snapToGrid w:val="0"/>
      <w:spacing w:line="560" w:lineRule="exact"/>
    </w:pPr>
    <w:rPr>
      <w:rFonts w:eastAsia="仿宋_GB2312" w:asciiTheme="minorHAnsi" w:hAnsiTheme="minorHAnsi" w:cstheme="minorBidi"/>
      <w:szCs w:val="22"/>
    </w:rPr>
  </w:style>
  <w:style w:type="paragraph" w:styleId="4">
    <w:name w:val="Date"/>
    <w:basedOn w:val="1"/>
    <w:next w:val="1"/>
    <w:link w:val="16"/>
    <w:autoRedefine/>
    <w:qFormat/>
    <w:uiPriority w:val="0"/>
    <w:pPr>
      <w:ind w:left="100" w:leftChars="2500"/>
    </w:p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link w:val="6"/>
    <w:autoRedefine/>
    <w:qFormat/>
    <w:uiPriority w:val="0"/>
    <w:rPr>
      <w:kern w:val="2"/>
      <w:sz w:val="18"/>
      <w:szCs w:val="18"/>
    </w:rPr>
  </w:style>
  <w:style w:type="character" w:customStyle="1" w:styleId="13">
    <w:name w:val="页脚 Char"/>
    <w:link w:val="5"/>
    <w:autoRedefine/>
    <w:qFormat/>
    <w:uiPriority w:val="99"/>
    <w:rPr>
      <w:kern w:val="2"/>
      <w:sz w:val="18"/>
      <w:szCs w:val="18"/>
    </w:rPr>
  </w:style>
  <w:style w:type="character" w:customStyle="1" w:styleId="14">
    <w:name w:val="正文文本 Char"/>
    <w:basedOn w:val="9"/>
    <w:link w:val="3"/>
    <w:autoRedefine/>
    <w:qFormat/>
    <w:uiPriority w:val="99"/>
    <w:rPr>
      <w:rFonts w:eastAsia="仿宋_GB2312" w:asciiTheme="minorHAnsi" w:hAnsiTheme="minorHAnsi" w:cstheme="minorBidi"/>
      <w:kern w:val="2"/>
      <w:sz w:val="21"/>
      <w:szCs w:val="22"/>
    </w:rPr>
  </w:style>
  <w:style w:type="paragraph" w:styleId="15">
    <w:name w:val="List Paragraph"/>
    <w:basedOn w:val="1"/>
    <w:autoRedefine/>
    <w:unhideWhenUsed/>
    <w:qFormat/>
    <w:uiPriority w:val="99"/>
    <w:pPr>
      <w:ind w:firstLine="420" w:firstLineChars="200"/>
    </w:pPr>
    <w:rPr>
      <w:rFonts w:asciiTheme="minorHAnsi" w:hAnsiTheme="minorHAnsi" w:eastAsiaTheme="minorEastAsia" w:cstheme="minorBidi"/>
      <w:szCs w:val="22"/>
    </w:rPr>
  </w:style>
  <w:style w:type="character" w:customStyle="1" w:styleId="16">
    <w:name w:val="日期 Char"/>
    <w:basedOn w:val="9"/>
    <w:link w:val="4"/>
    <w:autoRedefine/>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江苏省科协</Company>
  <Pages>1</Pages>
  <Words>644</Words>
  <Characters>3676</Characters>
  <Lines>30</Lines>
  <Paragraphs>8</Paragraphs>
  <TotalTime>13</TotalTime>
  <ScaleCrop>false</ScaleCrop>
  <LinksUpToDate>false</LinksUpToDate>
  <CharactersWithSpaces>4312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2024-03-15T06:37:00Z</dcterms:created>
  <dc:creator>张颖</dc:creator>
  <cp:lastModifiedBy>青衿渔郎</cp:lastModifiedBy>
  <dcterms:modified xsi:type="dcterms:W3CDTF">2024-03-24T16:50:12Z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FB882FCC747140C49E60F365CBCF2298_13</vt:lpwstr>
  </property>
</Properties>
</file>